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A18" w:rsidRDefault="00B30CF2">
      <w:pPr>
        <w:spacing w:after="297" w:line="259" w:lineRule="auto"/>
        <w:ind w:right="0" w:firstLine="0"/>
      </w:pPr>
      <w:bookmarkStart w:id="0" w:name="_GoBack"/>
      <w:bookmarkEnd w:id="0"/>
      <w:r>
        <w:rPr>
          <w:sz w:val="30"/>
        </w:rPr>
        <w:t>附件：</w:t>
      </w:r>
      <w:r>
        <w:rPr>
          <w:sz w:val="36"/>
        </w:rPr>
        <w:t xml:space="preserve"> </w:t>
      </w:r>
    </w:p>
    <w:p w:rsidR="006B1A18" w:rsidRDefault="00B30CF2">
      <w:pPr>
        <w:pStyle w:val="1"/>
      </w:pPr>
      <w:r>
        <w:t>政府会计准则第</w:t>
      </w:r>
      <w:r>
        <w:t xml:space="preserve"> 5 </w:t>
      </w:r>
      <w:r>
        <w:t>号</w:t>
      </w:r>
      <w:r>
        <w:t>——</w:t>
      </w:r>
      <w:r>
        <w:t>公共基础设施</w:t>
      </w:r>
      <w:r>
        <w:t xml:space="preserve">  </w:t>
      </w:r>
    </w:p>
    <w:p w:rsidR="006B1A18" w:rsidRDefault="00B30CF2">
      <w:pPr>
        <w:spacing w:after="299" w:line="259" w:lineRule="auto"/>
        <w:ind w:right="165" w:firstLine="0"/>
        <w:jc w:val="center"/>
      </w:pPr>
      <w:r>
        <w:t xml:space="preserve"> </w:t>
      </w:r>
    </w:p>
    <w:p w:rsidR="006B1A18" w:rsidRDefault="00B30CF2">
      <w:pPr>
        <w:pStyle w:val="2"/>
      </w:pPr>
      <w:r>
        <w:t>第一章</w:t>
      </w:r>
      <w:r>
        <w:t xml:space="preserve">  </w:t>
      </w:r>
      <w:r>
        <w:t>总</w:t>
      </w:r>
      <w:r>
        <w:t xml:space="preserve"> </w:t>
      </w:r>
      <w:r>
        <w:t>则</w:t>
      </w:r>
      <w:r>
        <w:t xml:space="preserve"> </w:t>
      </w:r>
    </w:p>
    <w:p w:rsidR="006B1A18" w:rsidRDefault="00B30CF2">
      <w:pPr>
        <w:spacing w:after="0"/>
        <w:ind w:left="-15" w:right="309" w:firstLine="554"/>
        <w:jc w:val="both"/>
      </w:pPr>
      <w:r>
        <w:t>第一条</w:t>
      </w:r>
      <w:r>
        <w:t xml:space="preserve"> </w:t>
      </w:r>
      <w:r>
        <w:t>为了规范公共基础设施的确认、计量和相关信息的披露，根据《政府会计准则</w:t>
      </w:r>
      <w:r>
        <w:t>——</w:t>
      </w:r>
      <w:r>
        <w:t>基本准则》，制定本准则。</w:t>
      </w:r>
      <w:r>
        <w:t xml:space="preserve"> </w:t>
      </w:r>
    </w:p>
    <w:p w:rsidR="006B1A18" w:rsidRDefault="00B30CF2">
      <w:pPr>
        <w:spacing w:after="0"/>
        <w:ind w:left="-15" w:right="309"/>
        <w:jc w:val="both"/>
      </w:pPr>
      <w:r>
        <w:t>第二条</w:t>
      </w:r>
      <w:r>
        <w:t xml:space="preserve"> </w:t>
      </w:r>
      <w:r>
        <w:t>本准则所称公共基础设施，是指政府会计主体为满足社会公共需求而控制的，同时具有以下特征的有形资产：</w:t>
      </w:r>
      <w:r>
        <w:t xml:space="preserve"> </w:t>
      </w:r>
    </w:p>
    <w:p w:rsidR="006B1A18" w:rsidRDefault="00B30CF2">
      <w:pPr>
        <w:numPr>
          <w:ilvl w:val="0"/>
          <w:numId w:val="1"/>
        </w:numPr>
        <w:spacing w:after="299" w:line="259" w:lineRule="auto"/>
        <w:ind w:right="0" w:hanging="960"/>
      </w:pPr>
      <w:r>
        <w:t>是一个有形资产系统或网络的组成部分；</w:t>
      </w:r>
      <w:r>
        <w:t xml:space="preserve"> </w:t>
      </w:r>
    </w:p>
    <w:p w:rsidR="006B1A18" w:rsidRDefault="00B30CF2">
      <w:pPr>
        <w:numPr>
          <w:ilvl w:val="0"/>
          <w:numId w:val="1"/>
        </w:numPr>
        <w:spacing w:after="299" w:line="259" w:lineRule="auto"/>
        <w:ind w:right="0" w:hanging="960"/>
      </w:pPr>
      <w:r>
        <w:t>具有特定用途；</w:t>
      </w:r>
      <w:r>
        <w:t xml:space="preserve"> </w:t>
      </w:r>
    </w:p>
    <w:p w:rsidR="006B1A18" w:rsidRDefault="00B30CF2">
      <w:pPr>
        <w:numPr>
          <w:ilvl w:val="0"/>
          <w:numId w:val="1"/>
        </w:numPr>
        <w:spacing w:after="300" w:line="259" w:lineRule="auto"/>
        <w:ind w:right="0" w:hanging="960"/>
      </w:pPr>
      <w:r>
        <w:t>一般不可移动。</w:t>
      </w:r>
      <w:r>
        <w:t xml:space="preserve"> </w:t>
      </w:r>
    </w:p>
    <w:p w:rsidR="006B1A18" w:rsidRDefault="00B30CF2">
      <w:pPr>
        <w:ind w:left="-15" w:right="0"/>
      </w:pPr>
      <w:r>
        <w:t>公共基础设施主要包括市政基础设施（如城市道路、桥梁、隧道、公交场站、路灯、广场、公园绿地、室外公共健身</w:t>
      </w:r>
      <w:r>
        <w:lastRenderedPageBreak/>
        <w:t>器材，以及环卫、排水、供水、供电、供气、供热、污水处理、垃圾处理系统等）、交通基础设施（如公路、航道、港口等）、水利基础设施（如大坝、堤防、水闸、泵站、渠道等）和其他公共基础设施。</w:t>
      </w:r>
      <w:r>
        <w:t xml:space="preserve"> </w:t>
      </w:r>
    </w:p>
    <w:p w:rsidR="006B1A18" w:rsidRDefault="00B30CF2">
      <w:pPr>
        <w:pStyle w:val="2"/>
        <w:ind w:left="331" w:right="782"/>
      </w:pPr>
      <w:r>
        <w:t>第三条</w:t>
      </w:r>
      <w:r>
        <w:t xml:space="preserve"> </w:t>
      </w:r>
      <w:r>
        <w:t>下列各项适用于其他相关政府会计准则：</w:t>
      </w:r>
      <w:r>
        <w:t xml:space="preserve"> </w:t>
      </w:r>
    </w:p>
    <w:p w:rsidR="006B1A18" w:rsidRDefault="00B30CF2">
      <w:pPr>
        <w:numPr>
          <w:ilvl w:val="0"/>
          <w:numId w:val="2"/>
        </w:numPr>
        <w:ind w:right="0"/>
      </w:pPr>
      <w:r>
        <w:t>独立于公共基础设施、不构成公共基础设施使用不可缺少组成部分的管理维护用房屋建筑物、设备、车辆等，适用《政府会计准则第</w:t>
      </w:r>
      <w:r>
        <w:t>3</w:t>
      </w:r>
      <w:r>
        <w:t>号</w:t>
      </w:r>
      <w:r>
        <w:t>——</w:t>
      </w:r>
      <w:r>
        <w:t>固定资产》。</w:t>
      </w:r>
      <w:r>
        <w:t xml:space="preserve"> </w:t>
      </w:r>
    </w:p>
    <w:p w:rsidR="006B1A18" w:rsidRDefault="00B30CF2">
      <w:pPr>
        <w:numPr>
          <w:ilvl w:val="0"/>
          <w:numId w:val="2"/>
        </w:numPr>
        <w:ind w:right="0"/>
      </w:pPr>
      <w:r>
        <w:t>属于文物文化资产的公共基础设施，适用其</w:t>
      </w:r>
      <w:r>
        <w:t>他相关政府会计准则。</w:t>
      </w:r>
      <w:r>
        <w:t xml:space="preserve"> </w:t>
      </w:r>
    </w:p>
    <w:p w:rsidR="006B1A18" w:rsidRDefault="00B30CF2">
      <w:pPr>
        <w:numPr>
          <w:ilvl w:val="0"/>
          <w:numId w:val="2"/>
        </w:numPr>
        <w:ind w:right="0"/>
      </w:pPr>
      <w:r>
        <w:t>采用政府和社会资本合作模式（即</w:t>
      </w:r>
      <w:r>
        <w:t>PPP</w:t>
      </w:r>
      <w:r>
        <w:t>模式）形成的公共基础设施的确认和初始计量，适用其他相关政府会计准则。</w:t>
      </w:r>
      <w:r>
        <w:t xml:space="preserve"> </w:t>
      </w:r>
    </w:p>
    <w:p w:rsidR="006B1A18" w:rsidRDefault="00B30CF2">
      <w:pPr>
        <w:spacing w:after="299" w:line="259" w:lineRule="auto"/>
        <w:ind w:right="165" w:firstLine="0"/>
        <w:jc w:val="center"/>
      </w:pPr>
      <w:r>
        <w:t xml:space="preserve"> </w:t>
      </w:r>
    </w:p>
    <w:p w:rsidR="006B1A18" w:rsidRDefault="00B30CF2">
      <w:pPr>
        <w:pStyle w:val="2"/>
      </w:pPr>
      <w:r>
        <w:t>第二章</w:t>
      </w:r>
      <w:r>
        <w:t xml:space="preserve">  </w:t>
      </w:r>
      <w:r>
        <w:t>公共基础设施的确认</w:t>
      </w:r>
      <w:r>
        <w:t xml:space="preserve"> </w:t>
      </w:r>
    </w:p>
    <w:p w:rsidR="006B1A18" w:rsidRDefault="00B30CF2">
      <w:pPr>
        <w:ind w:left="-15" w:right="0" w:firstLine="554"/>
      </w:pPr>
      <w:r>
        <w:t>第四条</w:t>
      </w:r>
      <w:r>
        <w:t xml:space="preserve"> </w:t>
      </w:r>
      <w:r>
        <w:t>通常情况下，符合本准则第五条规定的公共基础设施，应当由按规定对其负有管理维护职责的政府会计主体予以确认。</w:t>
      </w:r>
      <w:r>
        <w:t xml:space="preserve"> </w:t>
      </w:r>
    </w:p>
    <w:p w:rsidR="006B1A18" w:rsidRDefault="00B30CF2">
      <w:pPr>
        <w:ind w:left="-15" w:right="0"/>
      </w:pPr>
      <w:r>
        <w:t>多个政府会计主体共同管理维护的公共基础设施，应当由对该资产负有主要管理维护职责或者承担后续主要支出责任的政府会计主体予以确认。</w:t>
      </w:r>
      <w:r>
        <w:t xml:space="preserve"> </w:t>
      </w:r>
    </w:p>
    <w:p w:rsidR="006B1A18" w:rsidRDefault="00B30CF2">
      <w:pPr>
        <w:spacing w:after="299"/>
        <w:ind w:left="-15" w:right="309"/>
        <w:jc w:val="both"/>
      </w:pPr>
      <w:r>
        <w:t>分为多个组成部分由不同政府会计主体分别管理维护的公共基础设施，应当由各个政府会计主体分别对其负责</w:t>
      </w:r>
      <w:r>
        <w:t>管理维护的公共基础设施的相应部分予以确认。</w:t>
      </w:r>
      <w:r>
        <w:t xml:space="preserve"> </w:t>
      </w:r>
    </w:p>
    <w:p w:rsidR="006B1A18" w:rsidRDefault="00B30CF2">
      <w:pPr>
        <w:ind w:left="-15" w:right="0"/>
      </w:pPr>
      <w:r>
        <w:t>负有管理维护公共基础设施职责的政府会计主体通过政府购买服务方式委托企业或其他会计主体代为管理维护公共基础设施的，该公共基础设施应当由委托方予以确认。</w:t>
      </w:r>
      <w:r>
        <w:t xml:space="preserve"> </w:t>
      </w:r>
    </w:p>
    <w:p w:rsidR="006B1A18" w:rsidRDefault="00B30CF2">
      <w:pPr>
        <w:ind w:left="-15" w:right="0"/>
      </w:pPr>
      <w:r>
        <w:t>第五条</w:t>
      </w:r>
      <w:r>
        <w:t xml:space="preserve"> </w:t>
      </w:r>
      <w:r>
        <w:t>公共基础设施同时满足下列条件的，应当予以确认：</w:t>
      </w:r>
      <w:r>
        <w:t xml:space="preserve"> </w:t>
      </w:r>
    </w:p>
    <w:p w:rsidR="006B1A18" w:rsidRDefault="00B30CF2">
      <w:pPr>
        <w:numPr>
          <w:ilvl w:val="0"/>
          <w:numId w:val="3"/>
        </w:numPr>
        <w:ind w:right="0"/>
      </w:pPr>
      <w:r>
        <w:t>与该公共基础设施相关的服务潜力很可能实现或者经济利益很可能流入政府会计主体；</w:t>
      </w:r>
      <w:r>
        <w:t xml:space="preserve"> </w:t>
      </w:r>
    </w:p>
    <w:p w:rsidR="006B1A18" w:rsidRDefault="00B30CF2">
      <w:pPr>
        <w:numPr>
          <w:ilvl w:val="0"/>
          <w:numId w:val="3"/>
        </w:numPr>
        <w:spacing w:after="300" w:line="259" w:lineRule="auto"/>
        <w:ind w:right="0"/>
      </w:pPr>
      <w:r>
        <w:t>该公共基础设施的成本或者价值能够可靠地计量。</w:t>
      </w:r>
      <w:r>
        <w:t xml:space="preserve"> </w:t>
      </w:r>
    </w:p>
    <w:p w:rsidR="006B1A18" w:rsidRDefault="00B30CF2">
      <w:pPr>
        <w:spacing w:after="299" w:line="259" w:lineRule="auto"/>
        <w:ind w:left="10" w:right="-3" w:hanging="10"/>
        <w:jc w:val="right"/>
      </w:pPr>
      <w:r>
        <w:t>第六条</w:t>
      </w:r>
      <w:r>
        <w:t xml:space="preserve"> </w:t>
      </w:r>
      <w:r>
        <w:t>通常情况下，对于自建或外购的公共基础设施，</w:t>
      </w:r>
    </w:p>
    <w:p w:rsidR="006B1A18" w:rsidRDefault="00B30CF2">
      <w:pPr>
        <w:ind w:left="-15" w:right="0" w:firstLine="0"/>
      </w:pPr>
      <w:r>
        <w:t>政府会计主体应当在该项公共基础设施验收合格并交付使用时确认；对于无偿调入、接</w:t>
      </w:r>
      <w:r>
        <w:t>受捐赠的公共基础设施，政府会计主体应当在开始承担该项公共基础设施管理维护职责时确认。</w:t>
      </w:r>
      <w:r>
        <w:t xml:space="preserve"> </w:t>
      </w:r>
    </w:p>
    <w:p w:rsidR="006B1A18" w:rsidRDefault="00B30CF2">
      <w:pPr>
        <w:ind w:left="-15" w:right="0"/>
      </w:pPr>
      <w:r>
        <w:t>第七条</w:t>
      </w:r>
      <w:r>
        <w:t xml:space="preserve"> </w:t>
      </w:r>
      <w:r>
        <w:t>政府会计主体应当根据公共基础设施提供公共产品或服务的性质或功能特征对其进行分类确认。</w:t>
      </w:r>
      <w:r>
        <w:t xml:space="preserve"> </w:t>
      </w:r>
    </w:p>
    <w:p w:rsidR="006B1A18" w:rsidRDefault="00B30CF2">
      <w:pPr>
        <w:spacing w:after="299"/>
        <w:ind w:left="-15" w:right="0"/>
      </w:pPr>
      <w:r>
        <w:t>公共基础设施的各组成部分具有不同使用年限或者以不同方式提供公共产品或服务，适用不同折旧率或折旧方法且可以分别确定各自原价的，应当分别将各组成部分确认为该类公共基础设施的一个单项公共基础设施。</w:t>
      </w:r>
      <w:r>
        <w:t xml:space="preserve"> </w:t>
      </w:r>
    </w:p>
    <w:p w:rsidR="006B1A18" w:rsidRDefault="00B30CF2">
      <w:pPr>
        <w:ind w:left="-15" w:right="0"/>
      </w:pPr>
      <w:r>
        <w:t>第八条</w:t>
      </w:r>
      <w:r>
        <w:t xml:space="preserve"> </w:t>
      </w:r>
      <w:r>
        <w:t>政府会计主体在购建公共基础设施时，能够分清购建成本中的构筑物部分与土地使用权部分的，应当将其中的构筑物部分和土地使用权部分分别确认为公共基础设施；不能分清购建成本中的构筑物部分与土地使用权部分的，应当整体确认为公共基础设施。</w:t>
      </w:r>
      <w:r>
        <w:t xml:space="preserve">  </w:t>
      </w:r>
    </w:p>
    <w:p w:rsidR="006B1A18" w:rsidRDefault="00B30CF2">
      <w:pPr>
        <w:ind w:left="-15" w:right="0"/>
      </w:pPr>
      <w:r>
        <w:t>第九条</w:t>
      </w:r>
      <w:r>
        <w:t xml:space="preserve"> </w:t>
      </w:r>
      <w:r>
        <w:t>公共基础设施在使用过程中发生的后续支出，符合本准则第五条规定的确认条件的，应当计入公共基础设施成本；不符合本准则第五条规定的确认条件的，应当在发生时计入当期费用。</w:t>
      </w:r>
      <w:r>
        <w:t xml:space="preserve"> </w:t>
      </w:r>
    </w:p>
    <w:p w:rsidR="006B1A18" w:rsidRDefault="00B30CF2">
      <w:pPr>
        <w:ind w:left="-15" w:right="0"/>
      </w:pPr>
      <w:r>
        <w:t>通常情况下，为增加公共基础设施使用效能或延长其使用年限而发生的改建、扩建等后续支出，应当计入公共基础设施成本</w:t>
      </w:r>
      <w:r>
        <w:t>；为维护公共基础设施的正常使用而发生的日常维修、养护等后续支出，应当计入当期费用。</w:t>
      </w:r>
      <w:r>
        <w:t xml:space="preserve"> </w:t>
      </w:r>
    </w:p>
    <w:p w:rsidR="006B1A18" w:rsidRDefault="00B30CF2">
      <w:pPr>
        <w:spacing w:after="299" w:line="259" w:lineRule="auto"/>
        <w:ind w:left="554" w:right="0" w:firstLine="0"/>
      </w:pPr>
      <w:r>
        <w:t xml:space="preserve"> </w:t>
      </w:r>
    </w:p>
    <w:p w:rsidR="006B1A18" w:rsidRDefault="00B30CF2">
      <w:pPr>
        <w:pStyle w:val="2"/>
        <w:ind w:right="323"/>
      </w:pPr>
      <w:r>
        <w:t>第三章</w:t>
      </w:r>
      <w:r>
        <w:t xml:space="preserve">  </w:t>
      </w:r>
      <w:r>
        <w:t>公共基础设施的初始计量</w:t>
      </w:r>
      <w:r>
        <w:t xml:space="preserve"> </w:t>
      </w:r>
    </w:p>
    <w:p w:rsidR="006B1A18" w:rsidRDefault="00B30CF2">
      <w:pPr>
        <w:ind w:left="-15" w:right="0"/>
      </w:pPr>
      <w:r>
        <w:t>第十条</w:t>
      </w:r>
      <w:r>
        <w:t xml:space="preserve"> </w:t>
      </w:r>
      <w:r>
        <w:t>公共基础设施在取得时应当按照成本进行初始计量。</w:t>
      </w:r>
      <w:r>
        <w:t xml:space="preserve"> </w:t>
      </w:r>
    </w:p>
    <w:p w:rsidR="006B1A18" w:rsidRDefault="00B30CF2">
      <w:pPr>
        <w:spacing w:after="0" w:line="443" w:lineRule="auto"/>
        <w:ind w:left="10" w:right="324" w:hanging="10"/>
        <w:jc w:val="right"/>
      </w:pPr>
      <w:r>
        <w:t>第十一条</w:t>
      </w:r>
      <w:r>
        <w:t xml:space="preserve"> </w:t>
      </w:r>
      <w:r>
        <w:t>政府会计主体自行建造的公共基础设施，其成本包括完成批准的建设内容所发生的全部必要支出，包括建筑安装工程投资支出、设备投资支出、待摊投资支出和其他投资支出。</w:t>
      </w:r>
      <w:r>
        <w:t xml:space="preserve"> </w:t>
      </w:r>
    </w:p>
    <w:p w:rsidR="006B1A18" w:rsidRDefault="00B30CF2">
      <w:pPr>
        <w:ind w:left="-15" w:right="0"/>
      </w:pPr>
      <w:r>
        <w:t>在原有公共基础设施基础上进行改建、扩建等建造活动后的公共基础设施，其成本按照原公共基础设施账面价值加上改建、扩建等建造活动发生的支出，再扣除公共基础设施被替换部</w:t>
      </w:r>
      <w:r>
        <w:t>分的账面价值后的金额确定。</w:t>
      </w:r>
      <w:r>
        <w:t xml:space="preserve"> </w:t>
      </w:r>
    </w:p>
    <w:p w:rsidR="006B1A18" w:rsidRDefault="00B30CF2">
      <w:pPr>
        <w:ind w:left="-15" w:right="0"/>
      </w:pPr>
      <w:r>
        <w:t>为建造公共基础设施借入的专门借款的利息，属于建设期间发生的，计入该公共基础设施在建工程成本；不属于建设期间发生的，计入当期费用。</w:t>
      </w:r>
      <w:r>
        <w:t xml:space="preserve"> </w:t>
      </w:r>
    </w:p>
    <w:p w:rsidR="006B1A18" w:rsidRDefault="00B30CF2">
      <w:pPr>
        <w:spacing w:after="299" w:line="259" w:lineRule="auto"/>
        <w:ind w:left="10" w:right="-3" w:hanging="10"/>
        <w:jc w:val="right"/>
      </w:pPr>
      <w:r>
        <w:t>已交付使用但尚未办理竣工决算手续的公共基础设施，</w:t>
      </w:r>
    </w:p>
    <w:p w:rsidR="006B1A18" w:rsidRDefault="00B30CF2">
      <w:pPr>
        <w:ind w:left="-15" w:right="0" w:firstLine="0"/>
      </w:pPr>
      <w:r>
        <w:t>应当按照估计价值入账，待办理竣工决算后再按照实际成本调整原来的暂估价值。</w:t>
      </w:r>
      <w:r>
        <w:t xml:space="preserve"> </w:t>
      </w:r>
    </w:p>
    <w:p w:rsidR="006B1A18" w:rsidRDefault="00B30CF2">
      <w:pPr>
        <w:ind w:left="-15" w:right="0" w:firstLine="571"/>
      </w:pPr>
      <w:r>
        <w:t>第十二条</w:t>
      </w:r>
      <w:r>
        <w:t xml:space="preserve"> </w:t>
      </w:r>
      <w:r>
        <w:t>政府会计主体接受其他会计主体无偿调入的公共基础设施，其成本按照该项公共基础设施在调出方的账面价值加上归属于调入方的相关费用确定。</w:t>
      </w:r>
      <w:r>
        <w:t xml:space="preserve"> </w:t>
      </w:r>
    </w:p>
    <w:p w:rsidR="006B1A18" w:rsidRDefault="00B30CF2">
      <w:pPr>
        <w:ind w:left="-15" w:right="0" w:firstLine="571"/>
      </w:pPr>
      <w:r>
        <w:t>第十三条</w:t>
      </w:r>
      <w:r>
        <w:t xml:space="preserve"> </w:t>
      </w:r>
      <w:r>
        <w:t>政府会计主体接受捐赠的公共基础设施，其成本按照有关凭据注明的金额加上相关</w:t>
      </w:r>
      <w:r>
        <w:t>费用确定；没有相关凭据可供取得，但按规定经过资产评估的，其成本按照评估价值加上相关费用确定；没有相关凭据可供取得、也未经资产评估的，其成本比照同类或类似资产的市场价格加上相关费用确定。</w:t>
      </w:r>
      <w:r>
        <w:t xml:space="preserve"> </w:t>
      </w:r>
    </w:p>
    <w:p w:rsidR="006B1A18" w:rsidRDefault="00B30CF2">
      <w:pPr>
        <w:ind w:left="-15" w:right="0"/>
      </w:pPr>
      <w:r>
        <w:t>如受赠的系旧的公共基础设施，在确定其初始入账成本时应当考虑该项资产的新旧程度。</w:t>
      </w:r>
      <w:r>
        <w:t xml:space="preserve"> </w:t>
      </w:r>
    </w:p>
    <w:p w:rsidR="006B1A18" w:rsidRDefault="00B30CF2">
      <w:pPr>
        <w:ind w:left="-15" w:right="0"/>
      </w:pPr>
      <w:r>
        <w:t>第十四条</w:t>
      </w:r>
      <w:r>
        <w:t xml:space="preserve"> </w:t>
      </w:r>
      <w:r>
        <w:t>政府会计主体外购的公共基础设施，其成本包括购买价款、相关税费以及公共基础设施交付使用前所发生的可归属于该项资产的运输费、装卸费、安装费和专业人员服务费等。</w:t>
      </w:r>
      <w:r>
        <w:t xml:space="preserve"> </w:t>
      </w:r>
    </w:p>
    <w:p w:rsidR="006B1A18" w:rsidRDefault="00B30CF2">
      <w:pPr>
        <w:ind w:left="-15" w:right="0"/>
      </w:pPr>
      <w:r>
        <w:t>第十五条</w:t>
      </w:r>
      <w:r>
        <w:t xml:space="preserve"> </w:t>
      </w:r>
      <w:r>
        <w:t>对于包括不同组成部分的公共基础设施，其只有总成本、没有单项组成部分成本的，政府会计主体可以按照各单项组成部分同类或类似资产的成本或市场价格比例对总成本进行分配，分别确定公共基础设施中各单项组成部分的成本。</w:t>
      </w:r>
      <w:r>
        <w:t xml:space="preserve"> </w:t>
      </w:r>
    </w:p>
    <w:p w:rsidR="006B1A18" w:rsidRDefault="00B30CF2">
      <w:pPr>
        <w:spacing w:after="332" w:line="259" w:lineRule="auto"/>
        <w:ind w:left="571" w:right="0" w:firstLine="0"/>
      </w:pPr>
      <w:r>
        <w:rPr>
          <w:sz w:val="30"/>
        </w:rPr>
        <w:t xml:space="preserve"> </w:t>
      </w:r>
    </w:p>
    <w:p w:rsidR="006B1A18" w:rsidRDefault="00B30CF2">
      <w:pPr>
        <w:spacing w:after="299" w:line="259" w:lineRule="auto"/>
        <w:ind w:left="10" w:right="323" w:hanging="10"/>
        <w:jc w:val="center"/>
      </w:pPr>
      <w:r>
        <w:t>第四章</w:t>
      </w:r>
      <w:r>
        <w:t xml:space="preserve">  </w:t>
      </w:r>
      <w:r>
        <w:t>公共基础设施的后续计量</w:t>
      </w:r>
      <w:r>
        <w:t xml:space="preserve"> </w:t>
      </w:r>
    </w:p>
    <w:p w:rsidR="006B1A18" w:rsidRDefault="00B30CF2">
      <w:pPr>
        <w:pStyle w:val="2"/>
        <w:ind w:left="331" w:right="4"/>
      </w:pPr>
      <w:r>
        <w:t>第一节</w:t>
      </w:r>
      <w:r>
        <w:t xml:space="preserve"> </w:t>
      </w:r>
      <w:r>
        <w:t>公共基础设施的折旧或摊销</w:t>
      </w:r>
      <w:r>
        <w:t xml:space="preserve"> </w:t>
      </w:r>
    </w:p>
    <w:p w:rsidR="006B1A18" w:rsidRDefault="00B30CF2">
      <w:pPr>
        <w:spacing w:after="299" w:line="259" w:lineRule="auto"/>
        <w:ind w:left="10" w:right="-3" w:hanging="10"/>
        <w:jc w:val="right"/>
      </w:pPr>
      <w:r>
        <w:t>第十六条</w:t>
      </w:r>
      <w:r>
        <w:t xml:space="preserve"> </w:t>
      </w:r>
      <w:r>
        <w:t>政府会计主体应当对公共基础设施计提折旧，</w:t>
      </w:r>
    </w:p>
    <w:p w:rsidR="006B1A18" w:rsidRDefault="00B30CF2">
      <w:pPr>
        <w:ind w:left="-15" w:right="0" w:firstLine="0"/>
      </w:pPr>
      <w:r>
        <w:t>但政府会计主体持续进行良好的维护使得其性能得到永久维持的公共基础设施和确认为公共基础设施的单独计价入账的土地使用权除外。</w:t>
      </w:r>
      <w:r>
        <w:rPr>
          <w:sz w:val="30"/>
        </w:rPr>
        <w:t xml:space="preserve"> </w:t>
      </w:r>
    </w:p>
    <w:p w:rsidR="006B1A18" w:rsidRDefault="00B30CF2">
      <w:pPr>
        <w:ind w:left="-15" w:right="0"/>
      </w:pPr>
      <w:r>
        <w:t>公共基础设施应计提的折旧总额为其成本，计提公共基础设施折旧时不考虑预计净残值。</w:t>
      </w:r>
      <w:r>
        <w:t xml:space="preserve"> </w:t>
      </w:r>
    </w:p>
    <w:p w:rsidR="006B1A18" w:rsidRDefault="00B30CF2">
      <w:pPr>
        <w:ind w:left="-15" w:right="0"/>
      </w:pPr>
      <w:r>
        <w:t>政府会计主体应当对暂估入账的公共基础设施计提折旧，实际成本确定后不需调整原已计提的折旧额。</w:t>
      </w:r>
      <w:r>
        <w:t xml:space="preserve"> </w:t>
      </w:r>
    </w:p>
    <w:p w:rsidR="006B1A18" w:rsidRDefault="00B30CF2">
      <w:pPr>
        <w:ind w:left="-15" w:right="0"/>
      </w:pPr>
      <w:r>
        <w:t>第十七条</w:t>
      </w:r>
      <w:r>
        <w:t xml:space="preserve"> </w:t>
      </w:r>
      <w:r>
        <w:t>政府会计主体应当根据公共基础设施的性质和使用情况，合理确定公共基础设施的折旧年限。</w:t>
      </w:r>
      <w:r>
        <w:t xml:space="preserve"> </w:t>
      </w:r>
    </w:p>
    <w:p w:rsidR="006B1A18" w:rsidRDefault="00B30CF2">
      <w:pPr>
        <w:spacing w:after="299" w:line="259" w:lineRule="auto"/>
        <w:ind w:left="10" w:right="331" w:hanging="10"/>
        <w:jc w:val="right"/>
      </w:pPr>
      <w:r>
        <w:t>政府会计主体确定公共基础设施折旧年限，应当考虑</w:t>
      </w:r>
    </w:p>
    <w:p w:rsidR="006B1A18" w:rsidRDefault="00B30CF2">
      <w:pPr>
        <w:spacing w:after="299" w:line="259" w:lineRule="auto"/>
        <w:ind w:left="-15" w:right="0" w:firstLine="0"/>
      </w:pPr>
      <w:r>
        <w:t>下列因素：</w:t>
      </w:r>
      <w:r>
        <w:t xml:space="preserve"> </w:t>
      </w:r>
    </w:p>
    <w:p w:rsidR="006B1A18" w:rsidRDefault="00B30CF2">
      <w:pPr>
        <w:spacing w:after="299" w:line="259" w:lineRule="auto"/>
        <w:ind w:left="-15" w:right="0" w:firstLine="0"/>
      </w:pPr>
      <w:r>
        <w:t xml:space="preserve">  </w:t>
      </w:r>
      <w:r>
        <w:t>（一）设计使用年限或设计基准期；</w:t>
      </w:r>
      <w:r>
        <w:t xml:space="preserve">  </w:t>
      </w:r>
    </w:p>
    <w:p w:rsidR="006B1A18" w:rsidRDefault="00B30CF2">
      <w:pPr>
        <w:pStyle w:val="2"/>
        <w:ind w:left="331" w:right="633"/>
      </w:pPr>
      <w:r>
        <w:t>（二）预计实现服务潜力或提供经济利益的期限；</w:t>
      </w:r>
      <w:r>
        <w:t xml:space="preserve"> </w:t>
      </w:r>
    </w:p>
    <w:p w:rsidR="006B1A18" w:rsidRDefault="00B30CF2">
      <w:pPr>
        <w:numPr>
          <w:ilvl w:val="0"/>
          <w:numId w:val="4"/>
        </w:numPr>
        <w:spacing w:after="300" w:line="259" w:lineRule="auto"/>
        <w:ind w:right="0" w:hanging="960"/>
      </w:pPr>
      <w:r>
        <w:t>预计有形损耗和无形损耗；</w:t>
      </w:r>
      <w:r>
        <w:t xml:space="preserve"> </w:t>
      </w:r>
    </w:p>
    <w:p w:rsidR="006B1A18" w:rsidRDefault="00B30CF2">
      <w:pPr>
        <w:numPr>
          <w:ilvl w:val="0"/>
          <w:numId w:val="4"/>
        </w:numPr>
        <w:spacing w:after="299" w:line="259" w:lineRule="auto"/>
        <w:ind w:right="0" w:hanging="960"/>
      </w:pPr>
      <w:r>
        <w:t>法律或者类似规定对资产使用的限制。</w:t>
      </w:r>
      <w:r>
        <w:t xml:space="preserve"> </w:t>
      </w:r>
    </w:p>
    <w:p w:rsidR="006B1A18" w:rsidRDefault="00B30CF2">
      <w:pPr>
        <w:ind w:left="-15" w:right="0"/>
      </w:pPr>
      <w:r>
        <w:t>公共基础设施的折旧年限一经确定，不得随意变更，但符合本准则第二十条规定的除外。</w:t>
      </w:r>
      <w:r>
        <w:t xml:space="preserve"> </w:t>
      </w:r>
    </w:p>
    <w:p w:rsidR="006B1A18" w:rsidRDefault="00B30CF2">
      <w:pPr>
        <w:ind w:left="-15" w:right="0"/>
      </w:pPr>
      <w:r>
        <w:t>对于政府会计主体接受无偿调入、捐赠的公共基础设施，应当考虑该项资产的新旧程度，按照其尚可使用的年限计提折旧。</w:t>
      </w:r>
      <w:r>
        <w:t xml:space="preserve"> </w:t>
      </w:r>
    </w:p>
    <w:p w:rsidR="006B1A18" w:rsidRDefault="00B30CF2">
      <w:pPr>
        <w:ind w:left="-15" w:right="0"/>
      </w:pPr>
      <w:r>
        <w:t>第十八条</w:t>
      </w:r>
      <w:r>
        <w:t xml:space="preserve"> </w:t>
      </w:r>
      <w:r>
        <w:t>政府会计主体一般应当采用年限平均法或者工作量法计提公共基础设施折旧。</w:t>
      </w:r>
      <w:r>
        <w:t xml:space="preserve"> </w:t>
      </w:r>
    </w:p>
    <w:p w:rsidR="006B1A18" w:rsidRDefault="00B30CF2">
      <w:pPr>
        <w:spacing w:after="299" w:line="259" w:lineRule="auto"/>
        <w:ind w:left="10" w:right="331" w:hanging="10"/>
        <w:jc w:val="right"/>
      </w:pPr>
      <w:r>
        <w:t>在确定公共基础设施的折旧方法时，应当考虑与公共</w:t>
      </w:r>
    </w:p>
    <w:p w:rsidR="006B1A18" w:rsidRDefault="00B30CF2">
      <w:pPr>
        <w:spacing w:after="300" w:line="259" w:lineRule="auto"/>
        <w:ind w:left="-15" w:right="0" w:firstLine="0"/>
      </w:pPr>
      <w:r>
        <w:t>基础设施相关的服务潜力或经济利益的预期实现方式。</w:t>
      </w:r>
      <w:r>
        <w:t xml:space="preserve"> </w:t>
      </w:r>
    </w:p>
    <w:p w:rsidR="006B1A18" w:rsidRDefault="00B30CF2">
      <w:pPr>
        <w:spacing w:after="299" w:line="259" w:lineRule="auto"/>
        <w:ind w:left="-15" w:right="0" w:firstLine="0"/>
      </w:pPr>
      <w:r>
        <w:t xml:space="preserve">    </w:t>
      </w:r>
      <w:r>
        <w:t>公共基础设施折旧方法一经确定，不得随意变更。</w:t>
      </w:r>
      <w:r>
        <w:t xml:space="preserve"> </w:t>
      </w:r>
    </w:p>
    <w:p w:rsidR="006B1A18" w:rsidRDefault="00B30CF2">
      <w:pPr>
        <w:ind w:left="-15" w:right="0"/>
      </w:pPr>
      <w:r>
        <w:t>第十九条</w:t>
      </w:r>
      <w:r>
        <w:t xml:space="preserve"> </w:t>
      </w:r>
      <w:r>
        <w:t>公共基础设施应当按月计提折旧，并计入当期费用。当月增加的公共基础设施，</w:t>
      </w:r>
      <w:r>
        <w:t>当月开始计提折旧；当月减少的公共基础设施，当月不再计提折旧。</w:t>
      </w:r>
      <w:r>
        <w:t xml:space="preserve"> </w:t>
      </w:r>
    </w:p>
    <w:p w:rsidR="006B1A18" w:rsidRDefault="00B30CF2">
      <w:pPr>
        <w:ind w:left="-15" w:right="0"/>
      </w:pPr>
      <w:r>
        <w:t>第二十条</w:t>
      </w:r>
      <w:r>
        <w:t xml:space="preserve"> </w:t>
      </w:r>
      <w:r>
        <w:t>处于改建、扩建等建造活动期间的公共基础设施，应当暂停计提折旧。</w:t>
      </w:r>
      <w:r>
        <w:t xml:space="preserve"> </w:t>
      </w:r>
    </w:p>
    <w:p w:rsidR="006B1A18" w:rsidRDefault="00B30CF2">
      <w:pPr>
        <w:spacing w:after="299" w:line="259" w:lineRule="auto"/>
        <w:ind w:left="10" w:right="-3" w:hanging="10"/>
        <w:jc w:val="right"/>
      </w:pPr>
      <w:r>
        <w:t>因改建、扩建等原因而延长公共基础设施使用年限的，</w:t>
      </w:r>
    </w:p>
    <w:p w:rsidR="006B1A18" w:rsidRDefault="00B30CF2">
      <w:pPr>
        <w:ind w:left="-15" w:right="0" w:firstLine="0"/>
      </w:pPr>
      <w:r>
        <w:t>应当按照重新确定的公共基础设施的成本和重新确定的折旧年限计算折旧额，不需调整原已计提的折旧额。</w:t>
      </w:r>
      <w:r>
        <w:t xml:space="preserve"> </w:t>
      </w:r>
    </w:p>
    <w:p w:rsidR="006B1A18" w:rsidRDefault="00B30CF2">
      <w:pPr>
        <w:ind w:left="-15" w:right="0"/>
      </w:pPr>
      <w:r>
        <w:t>第二十一条</w:t>
      </w:r>
      <w:r>
        <w:t xml:space="preserve"> </w:t>
      </w:r>
      <w:r>
        <w:t>公共基础设施提足折旧后，无论能否继续使用，均不再计提折旧；已提足折旧的公共基础设施，可以继续使用的，应当继续使用，并规范实物管理。</w:t>
      </w:r>
      <w:r>
        <w:t xml:space="preserve"> </w:t>
      </w:r>
    </w:p>
    <w:p w:rsidR="006B1A18" w:rsidRDefault="00B30CF2">
      <w:pPr>
        <w:spacing w:after="299" w:line="259" w:lineRule="auto"/>
        <w:ind w:left="641" w:right="0" w:firstLine="0"/>
      </w:pPr>
      <w:r>
        <w:t>提前报废的公共基础设施，不再补提折旧。</w:t>
      </w:r>
      <w:r>
        <w:t xml:space="preserve"> </w:t>
      </w:r>
    </w:p>
    <w:p w:rsidR="006B1A18" w:rsidRDefault="00B30CF2">
      <w:pPr>
        <w:spacing w:after="299"/>
        <w:ind w:left="-15" w:right="309"/>
        <w:jc w:val="both"/>
      </w:pPr>
      <w:r>
        <w:t>第二十二条</w:t>
      </w:r>
      <w:r>
        <w:t xml:space="preserve"> </w:t>
      </w:r>
      <w:r>
        <w:t>对于确认为公共基础设施的单独计价入账的土地使用权，政府会计主体应当按照《政府会计准则第</w:t>
      </w:r>
      <w:r>
        <w:t xml:space="preserve"> 4 </w:t>
      </w:r>
      <w:r>
        <w:t>号</w:t>
      </w:r>
      <w:r>
        <w:t>——</w:t>
      </w:r>
      <w:r>
        <w:t>无形资产》的相关规定进行摊销。</w:t>
      </w:r>
      <w:r>
        <w:t xml:space="preserve"> </w:t>
      </w:r>
    </w:p>
    <w:p w:rsidR="006B1A18" w:rsidRDefault="00B30CF2">
      <w:pPr>
        <w:spacing w:after="299" w:line="259" w:lineRule="auto"/>
        <w:ind w:left="641" w:right="0" w:firstLine="0"/>
      </w:pPr>
      <w:r>
        <w:t xml:space="preserve"> </w:t>
      </w:r>
    </w:p>
    <w:p w:rsidR="006B1A18" w:rsidRDefault="00B30CF2">
      <w:pPr>
        <w:pStyle w:val="2"/>
        <w:ind w:left="331" w:right="0"/>
      </w:pPr>
      <w:r>
        <w:t>第二节</w:t>
      </w:r>
      <w:r>
        <w:t xml:space="preserve">  </w:t>
      </w:r>
      <w:r>
        <w:t>公共基础设施的处置</w:t>
      </w:r>
      <w:r>
        <w:t xml:space="preserve"> </w:t>
      </w:r>
    </w:p>
    <w:p w:rsidR="006B1A18" w:rsidRDefault="00B30CF2">
      <w:pPr>
        <w:ind w:left="-15" w:right="0"/>
      </w:pPr>
      <w:r>
        <w:t>第二十三条</w:t>
      </w:r>
      <w:r>
        <w:t xml:space="preserve"> </w:t>
      </w:r>
      <w:r>
        <w:t>政府会计主体按规定报经批准无偿调出、对外捐赠公共基础设施的，应当将公共基础设施的账面价值予以转销，无偿调出、对外捐赠中发生的归属于调出方、捐出方的相关费用应当计入当期费用。</w:t>
      </w:r>
      <w:r>
        <w:t xml:space="preserve"> </w:t>
      </w:r>
    </w:p>
    <w:p w:rsidR="006B1A18" w:rsidRDefault="00B30CF2">
      <w:pPr>
        <w:ind w:left="-15" w:right="0"/>
      </w:pPr>
      <w:r>
        <w:t>第二十四条</w:t>
      </w:r>
      <w:r>
        <w:t xml:space="preserve"> </w:t>
      </w:r>
      <w:r>
        <w:t>公共基础设施报废或遭受重大毁损的，政府会计主体应当在报经批准后将公共基础设施账面价值予以转销，并将报废、毁损过程中取得的残值变价收入扣除相关费用</w:t>
      </w:r>
      <w:r>
        <w:t>后的差额按规定做应缴款项处理（差额为净收益时）或计入当期费用（差额为净损失时）。</w:t>
      </w:r>
      <w:r>
        <w:t xml:space="preserve"> </w:t>
      </w:r>
    </w:p>
    <w:p w:rsidR="006B1A18" w:rsidRDefault="00B30CF2">
      <w:pPr>
        <w:spacing w:after="332" w:line="259" w:lineRule="auto"/>
        <w:ind w:left="600" w:right="0" w:firstLine="0"/>
      </w:pPr>
      <w:r>
        <w:rPr>
          <w:sz w:val="30"/>
        </w:rPr>
        <w:t xml:space="preserve"> </w:t>
      </w:r>
    </w:p>
    <w:p w:rsidR="006B1A18" w:rsidRDefault="00B30CF2">
      <w:pPr>
        <w:pStyle w:val="2"/>
      </w:pPr>
      <w:r>
        <w:t>第五章</w:t>
      </w:r>
      <w:r>
        <w:t xml:space="preserve">  </w:t>
      </w:r>
      <w:r>
        <w:t>公共基础设施的披露</w:t>
      </w:r>
      <w:r>
        <w:t xml:space="preserve"> </w:t>
      </w:r>
    </w:p>
    <w:p w:rsidR="006B1A18" w:rsidRDefault="00B30CF2">
      <w:pPr>
        <w:ind w:left="-15" w:right="0"/>
      </w:pPr>
      <w:r>
        <w:t>第二十五条</w:t>
      </w:r>
      <w:r>
        <w:t xml:space="preserve"> </w:t>
      </w:r>
      <w:r>
        <w:t>政府会计主体应当在附注中披露与公共基础设施有关的下列信息：</w:t>
      </w:r>
      <w:r>
        <w:t xml:space="preserve"> </w:t>
      </w:r>
    </w:p>
    <w:p w:rsidR="006B1A18" w:rsidRDefault="00B30CF2">
      <w:pPr>
        <w:numPr>
          <w:ilvl w:val="0"/>
          <w:numId w:val="5"/>
        </w:numPr>
        <w:spacing w:after="299" w:line="259" w:lineRule="auto"/>
        <w:ind w:right="0"/>
      </w:pPr>
      <w:r>
        <w:t>公共基础设施的分类和折旧方法。</w:t>
      </w:r>
      <w:r>
        <w:t xml:space="preserve"> </w:t>
      </w:r>
    </w:p>
    <w:p w:rsidR="006B1A18" w:rsidRDefault="00B30CF2">
      <w:pPr>
        <w:numPr>
          <w:ilvl w:val="0"/>
          <w:numId w:val="5"/>
        </w:numPr>
        <w:spacing w:after="300" w:line="259" w:lineRule="auto"/>
        <w:ind w:right="0"/>
      </w:pPr>
      <w:r>
        <w:t>各类公共基础设施的折旧年限及其确定依据。</w:t>
      </w:r>
      <w:r>
        <w:t xml:space="preserve"> </w:t>
      </w:r>
    </w:p>
    <w:p w:rsidR="006B1A18" w:rsidRDefault="00B30CF2">
      <w:pPr>
        <w:numPr>
          <w:ilvl w:val="0"/>
          <w:numId w:val="5"/>
        </w:numPr>
        <w:spacing w:after="299" w:line="259" w:lineRule="auto"/>
        <w:ind w:right="0"/>
      </w:pPr>
      <w:r>
        <w:t>各类公共基础设施账面余额、累计折旧额（或摊销额）、账面价值的期初、期末数及其本期变动情况。</w:t>
      </w:r>
      <w:r>
        <w:t xml:space="preserve"> </w:t>
      </w:r>
    </w:p>
    <w:p w:rsidR="006B1A18" w:rsidRDefault="00B30CF2">
      <w:pPr>
        <w:numPr>
          <w:ilvl w:val="0"/>
          <w:numId w:val="5"/>
        </w:numPr>
        <w:spacing w:after="299" w:line="259" w:lineRule="auto"/>
        <w:ind w:right="0"/>
      </w:pPr>
      <w:r>
        <w:t>各类公共基础设施的实物量。</w:t>
      </w:r>
      <w:r>
        <w:t xml:space="preserve"> </w:t>
      </w:r>
    </w:p>
    <w:p w:rsidR="006B1A18" w:rsidRDefault="00B30CF2">
      <w:pPr>
        <w:numPr>
          <w:ilvl w:val="0"/>
          <w:numId w:val="5"/>
        </w:numPr>
        <w:ind w:right="0"/>
      </w:pPr>
      <w:r>
        <w:t>公共基础设施在建工程的期初、期末金额及其增减变动情况。</w:t>
      </w:r>
      <w:r>
        <w:t xml:space="preserve"> </w:t>
      </w:r>
    </w:p>
    <w:p w:rsidR="006B1A18" w:rsidRDefault="00B30CF2">
      <w:pPr>
        <w:numPr>
          <w:ilvl w:val="0"/>
          <w:numId w:val="5"/>
        </w:numPr>
        <w:ind w:right="0"/>
      </w:pPr>
      <w:r>
        <w:t>确认为公共基础设施的单独计价入账的土地使用权的账面余额、累计摊销额及其变动情况。</w:t>
      </w:r>
      <w:r>
        <w:t xml:space="preserve"> </w:t>
      </w:r>
    </w:p>
    <w:p w:rsidR="006B1A18" w:rsidRDefault="00B30CF2">
      <w:pPr>
        <w:numPr>
          <w:ilvl w:val="0"/>
          <w:numId w:val="5"/>
        </w:numPr>
        <w:ind w:right="0"/>
      </w:pPr>
      <w:r>
        <w:t>已提足折旧继续使用的公共基础设施的名称、数量等情况。</w:t>
      </w:r>
      <w:r>
        <w:t xml:space="preserve"> </w:t>
      </w:r>
    </w:p>
    <w:p w:rsidR="006B1A18" w:rsidRDefault="00B30CF2">
      <w:pPr>
        <w:numPr>
          <w:ilvl w:val="0"/>
          <w:numId w:val="5"/>
        </w:numPr>
        <w:spacing w:after="299" w:line="259" w:lineRule="auto"/>
        <w:ind w:right="0"/>
      </w:pPr>
      <w:r>
        <w:t>暂估入账的公共基础设施账面价值变动情况。</w:t>
      </w:r>
      <w:r>
        <w:t xml:space="preserve"> </w:t>
      </w:r>
    </w:p>
    <w:p w:rsidR="006B1A18" w:rsidRDefault="00B30CF2">
      <w:pPr>
        <w:numPr>
          <w:ilvl w:val="0"/>
          <w:numId w:val="5"/>
        </w:numPr>
        <w:ind w:right="0"/>
      </w:pPr>
      <w:r>
        <w:t>无偿调入、接受捐赠的公共基础设施名称、数量等情况（包括未按照本准则第十二条和第十三条规定计量并确认入账的公共基础设施的具体情况）。</w:t>
      </w:r>
      <w:r>
        <w:t xml:space="preserve"> </w:t>
      </w:r>
    </w:p>
    <w:p w:rsidR="006B1A18" w:rsidRDefault="00B30CF2">
      <w:pPr>
        <w:numPr>
          <w:ilvl w:val="0"/>
          <w:numId w:val="5"/>
        </w:numPr>
        <w:ind w:right="0"/>
      </w:pPr>
      <w:r>
        <w:t>公共基础设施对外捐赠、无偿调出、报废、重大毁损等处置情况。</w:t>
      </w:r>
      <w:r>
        <w:t xml:space="preserve"> </w:t>
      </w:r>
    </w:p>
    <w:p w:rsidR="006B1A18" w:rsidRDefault="00B30CF2">
      <w:pPr>
        <w:numPr>
          <w:ilvl w:val="0"/>
          <w:numId w:val="5"/>
        </w:numPr>
        <w:ind w:right="0"/>
      </w:pPr>
      <w:r>
        <w:t>公共基础设施年度维护费用和其他后续支出情况。</w:t>
      </w:r>
      <w:r>
        <w:t xml:space="preserve"> </w:t>
      </w:r>
    </w:p>
    <w:p w:rsidR="006B1A18" w:rsidRDefault="00B30CF2">
      <w:pPr>
        <w:spacing w:after="299" w:line="259" w:lineRule="auto"/>
        <w:ind w:left="641" w:right="0" w:firstLine="0"/>
      </w:pPr>
      <w:r>
        <w:t xml:space="preserve"> </w:t>
      </w:r>
    </w:p>
    <w:p w:rsidR="006B1A18" w:rsidRDefault="00B30CF2">
      <w:pPr>
        <w:pStyle w:val="2"/>
      </w:pPr>
      <w:r>
        <w:t>第六章</w:t>
      </w:r>
      <w:r>
        <w:t xml:space="preserve">  </w:t>
      </w:r>
      <w:r>
        <w:t>附</w:t>
      </w:r>
      <w:r>
        <w:t xml:space="preserve"> </w:t>
      </w:r>
      <w:r>
        <w:t>则</w:t>
      </w:r>
      <w:r>
        <w:t xml:space="preserve"> </w:t>
      </w:r>
    </w:p>
    <w:p w:rsidR="006B1A18" w:rsidRDefault="00B30CF2">
      <w:pPr>
        <w:spacing w:after="0" w:line="443" w:lineRule="auto"/>
        <w:ind w:left="10" w:right="324" w:hanging="10"/>
        <w:jc w:val="right"/>
      </w:pPr>
      <w:r>
        <w:t>第二十六条</w:t>
      </w:r>
      <w:r>
        <w:t xml:space="preserve"> </w:t>
      </w:r>
      <w:r>
        <w:t>对于应当确认为公共基础设施、但已确认</w:t>
      </w:r>
      <w:r>
        <w:t>为固定资产的资产，政府会计主体应当在本准则首次执行日将该资产按其账面价值重分类为公共基础设施。</w:t>
      </w:r>
      <w:r>
        <w:t xml:space="preserve"> </w:t>
      </w:r>
    </w:p>
    <w:p w:rsidR="006B1A18" w:rsidRDefault="00B30CF2">
      <w:pPr>
        <w:ind w:left="-15" w:right="0"/>
      </w:pPr>
      <w:r>
        <w:t>第二十七条</w:t>
      </w:r>
      <w:r>
        <w:t xml:space="preserve"> </w:t>
      </w:r>
      <w:r>
        <w:t>对于应当确认但尚未入账的存量公共基础设施，政府会计主体应当在本准则首次执行日按照以下原则确定其初始入账成本：</w:t>
      </w:r>
      <w:r>
        <w:t xml:space="preserve"> </w:t>
      </w:r>
    </w:p>
    <w:p w:rsidR="006B1A18" w:rsidRDefault="00B30CF2">
      <w:pPr>
        <w:numPr>
          <w:ilvl w:val="0"/>
          <w:numId w:val="6"/>
        </w:numPr>
        <w:ind w:right="0"/>
      </w:pPr>
      <w:r>
        <w:t>可以取得相关原始凭据的，其成本按照有关原始凭据注明的金额减去应计提的累计折旧后的金额确定；</w:t>
      </w:r>
      <w:r>
        <w:t xml:space="preserve"> </w:t>
      </w:r>
    </w:p>
    <w:p w:rsidR="006B1A18" w:rsidRDefault="00B30CF2">
      <w:pPr>
        <w:numPr>
          <w:ilvl w:val="0"/>
          <w:numId w:val="6"/>
        </w:numPr>
        <w:ind w:right="0"/>
      </w:pPr>
      <w:r>
        <w:t>没有相关凭据可供取得，但按规定经过资产评估的，其成本按照评估价值确定；</w:t>
      </w:r>
      <w:r>
        <w:t xml:space="preserve"> </w:t>
      </w:r>
    </w:p>
    <w:p w:rsidR="006B1A18" w:rsidRDefault="00B30CF2">
      <w:pPr>
        <w:numPr>
          <w:ilvl w:val="0"/>
          <w:numId w:val="6"/>
        </w:numPr>
        <w:ind w:right="0"/>
      </w:pPr>
      <w:r>
        <w:t>没有相关凭据可供取得、也未经资产评估的，其成本按照重置成本确定。</w:t>
      </w:r>
      <w:r>
        <w:t xml:space="preserve"> </w:t>
      </w:r>
    </w:p>
    <w:p w:rsidR="006B1A18" w:rsidRDefault="00B30CF2">
      <w:pPr>
        <w:ind w:left="-15" w:right="0"/>
      </w:pPr>
      <w:r>
        <w:t>本准则首次执行日以后，政府会计主体应当对存量公共基础设</w:t>
      </w:r>
      <w:r>
        <w:t>施按其在首次执行日确定的成本和剩余折旧年限计提折旧。</w:t>
      </w:r>
      <w:r>
        <w:t xml:space="preserve"> </w:t>
      </w:r>
    </w:p>
    <w:p w:rsidR="006B1A18" w:rsidRDefault="00B30CF2">
      <w:pPr>
        <w:spacing w:after="0" w:line="259" w:lineRule="auto"/>
        <w:ind w:left="331" w:right="936" w:hanging="10"/>
        <w:jc w:val="center"/>
      </w:pPr>
      <w:r>
        <w:t>第二十八条</w:t>
      </w:r>
      <w:r>
        <w:t xml:space="preserve"> </w:t>
      </w:r>
      <w:r>
        <w:t>本准则自</w:t>
      </w:r>
      <w:r>
        <w:t>2018</w:t>
      </w:r>
      <w:r>
        <w:t>年</w:t>
      </w:r>
      <w:r>
        <w:t>1</w:t>
      </w:r>
      <w:r>
        <w:t>月</w:t>
      </w:r>
      <w:r>
        <w:t>1</w:t>
      </w:r>
      <w:r>
        <w:t>日起施行。</w:t>
      </w:r>
      <w:r>
        <w:t xml:space="preserve"> </w:t>
      </w:r>
    </w:p>
    <w:sectPr w:rsidR="006B1A18">
      <w:footerReference w:type="even" r:id="rId7"/>
      <w:footerReference w:type="default" r:id="rId8"/>
      <w:footerReference w:type="first" r:id="rId9"/>
      <w:pgSz w:w="11906" w:h="16838"/>
      <w:pgMar w:top="1641" w:right="1476" w:bottom="1916" w:left="1800" w:header="720" w:footer="9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CF2" w:rsidRDefault="00B30CF2">
      <w:pPr>
        <w:spacing w:after="0" w:line="240" w:lineRule="auto"/>
      </w:pPr>
      <w:r>
        <w:separator/>
      </w:r>
    </w:p>
  </w:endnote>
  <w:endnote w:type="continuationSeparator" w:id="0">
    <w:p w:rsidR="00B30CF2" w:rsidRDefault="00B30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A18" w:rsidRDefault="00B30CF2">
    <w:pPr>
      <w:spacing w:after="181" w:line="259" w:lineRule="auto"/>
      <w:ind w:firstLine="0"/>
      <w:jc w:val="center"/>
    </w:pPr>
    <w:r>
      <w:fldChar w:fldCharType="begin"/>
    </w:r>
    <w:r>
      <w:instrText xml:space="preserve"> PAGE   \* MERGEFORMAT </w:instrText>
    </w:r>
    <w:r>
      <w:fldChar w:fldCharType="separate"/>
    </w:r>
    <w:r>
      <w:rPr>
        <w:rFonts w:ascii="Tahoma" w:eastAsia="Tahoma" w:hAnsi="Tahoma" w:cs="Tahoma"/>
        <w:sz w:val="18"/>
      </w:rPr>
      <w:t>1</w:t>
    </w:r>
    <w:r>
      <w:rPr>
        <w:rFonts w:ascii="Tahoma" w:eastAsia="Tahoma" w:hAnsi="Tahoma" w:cs="Tahoma"/>
        <w:sz w:val="18"/>
      </w:rPr>
      <w:fldChar w:fldCharType="end"/>
    </w:r>
    <w:r>
      <w:rPr>
        <w:rFonts w:ascii="Tahoma" w:eastAsia="Tahoma" w:hAnsi="Tahoma" w:cs="Tahoma"/>
        <w:sz w:val="18"/>
      </w:rPr>
      <w:t xml:space="preserve"> </w:t>
    </w:r>
  </w:p>
  <w:p w:rsidR="006B1A18" w:rsidRDefault="00B30CF2">
    <w:pPr>
      <w:spacing w:after="0" w:line="259" w:lineRule="auto"/>
      <w:ind w:right="0" w:firstLine="0"/>
    </w:pPr>
    <w:r>
      <w:rPr>
        <w:rFonts w:ascii="Tahoma" w:eastAsia="Tahoma" w:hAnsi="Tahoma" w:cs="Tahoma"/>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A18" w:rsidRDefault="00B30CF2">
    <w:pPr>
      <w:spacing w:after="181" w:line="259" w:lineRule="auto"/>
      <w:ind w:firstLine="0"/>
      <w:jc w:val="center"/>
    </w:pPr>
    <w:r>
      <w:fldChar w:fldCharType="begin"/>
    </w:r>
    <w:r>
      <w:instrText xml:space="preserve"> PAGE   \* MERGEFORMAT </w:instrText>
    </w:r>
    <w:r>
      <w:fldChar w:fldCharType="separate"/>
    </w:r>
    <w:r w:rsidR="001044CF" w:rsidRPr="001044CF">
      <w:rPr>
        <w:rFonts w:ascii="Tahoma" w:eastAsia="Tahoma" w:hAnsi="Tahoma" w:cs="Tahoma"/>
        <w:noProof/>
        <w:sz w:val="18"/>
      </w:rPr>
      <w:t>1</w:t>
    </w:r>
    <w:r>
      <w:rPr>
        <w:rFonts w:ascii="Tahoma" w:eastAsia="Tahoma" w:hAnsi="Tahoma" w:cs="Tahoma"/>
        <w:sz w:val="18"/>
      </w:rPr>
      <w:fldChar w:fldCharType="end"/>
    </w:r>
    <w:r>
      <w:rPr>
        <w:rFonts w:ascii="Tahoma" w:eastAsia="Tahoma" w:hAnsi="Tahoma" w:cs="Tahoma"/>
        <w:sz w:val="18"/>
      </w:rPr>
      <w:t xml:space="preserve"> </w:t>
    </w:r>
  </w:p>
  <w:p w:rsidR="006B1A18" w:rsidRDefault="00B30CF2">
    <w:pPr>
      <w:spacing w:after="0" w:line="259" w:lineRule="auto"/>
      <w:ind w:right="0" w:firstLine="0"/>
    </w:pPr>
    <w:r>
      <w:rPr>
        <w:rFonts w:ascii="Tahoma" w:eastAsia="Tahoma" w:hAnsi="Tahoma" w:cs="Tahoma"/>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A18" w:rsidRDefault="00B30CF2">
    <w:pPr>
      <w:spacing w:after="181" w:line="259" w:lineRule="auto"/>
      <w:ind w:firstLine="0"/>
      <w:jc w:val="center"/>
    </w:pPr>
    <w:r>
      <w:fldChar w:fldCharType="begin"/>
    </w:r>
    <w:r>
      <w:instrText xml:space="preserve"> PAGE   \* MERGEFORMAT </w:instrText>
    </w:r>
    <w:r>
      <w:fldChar w:fldCharType="separate"/>
    </w:r>
    <w:r>
      <w:rPr>
        <w:rFonts w:ascii="Tahoma" w:eastAsia="Tahoma" w:hAnsi="Tahoma" w:cs="Tahoma"/>
        <w:sz w:val="18"/>
      </w:rPr>
      <w:t>1</w:t>
    </w:r>
    <w:r>
      <w:rPr>
        <w:rFonts w:ascii="Tahoma" w:eastAsia="Tahoma" w:hAnsi="Tahoma" w:cs="Tahoma"/>
        <w:sz w:val="18"/>
      </w:rPr>
      <w:fldChar w:fldCharType="end"/>
    </w:r>
    <w:r>
      <w:rPr>
        <w:rFonts w:ascii="Tahoma" w:eastAsia="Tahoma" w:hAnsi="Tahoma" w:cs="Tahoma"/>
        <w:sz w:val="18"/>
      </w:rPr>
      <w:t xml:space="preserve"> </w:t>
    </w:r>
  </w:p>
  <w:p w:rsidR="006B1A18" w:rsidRDefault="00B30CF2">
    <w:pPr>
      <w:spacing w:after="0" w:line="259" w:lineRule="auto"/>
      <w:ind w:right="0" w:firstLine="0"/>
    </w:pPr>
    <w:r>
      <w:rPr>
        <w:rFonts w:ascii="Tahoma" w:eastAsia="Tahoma" w:hAnsi="Tahoma" w:cs="Tahoma"/>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CF2" w:rsidRDefault="00B30CF2">
      <w:pPr>
        <w:spacing w:after="0" w:line="240" w:lineRule="auto"/>
      </w:pPr>
      <w:r>
        <w:separator/>
      </w:r>
    </w:p>
  </w:footnote>
  <w:footnote w:type="continuationSeparator" w:id="0">
    <w:p w:rsidR="00B30CF2" w:rsidRDefault="00B30C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15BAA"/>
    <w:multiLevelType w:val="hybridMultilevel"/>
    <w:tmpl w:val="CA8879F2"/>
    <w:lvl w:ilvl="0" w:tplc="C3040EE6">
      <w:start w:val="1"/>
      <w:numFmt w:val="ideographDigital"/>
      <w:lvlText w:val="（%1）"/>
      <w:lvlJc w:val="left"/>
      <w:pPr>
        <w:ind w:left="0"/>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1" w:tplc="0F86D1EE">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2" w:tplc="38822556">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3" w:tplc="D3D2C9BE">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4" w:tplc="F7F8A838">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5" w:tplc="1736E5B2">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6" w:tplc="9B2C6D82">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7" w:tplc="8BC6C086">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8" w:tplc="51E4EE54">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1F4E2D89"/>
    <w:multiLevelType w:val="hybridMultilevel"/>
    <w:tmpl w:val="366AE5B6"/>
    <w:lvl w:ilvl="0" w:tplc="1166D8EA">
      <w:start w:val="1"/>
      <w:numFmt w:val="ideographDigital"/>
      <w:lvlText w:val="（%1）"/>
      <w:lvlJc w:val="left"/>
      <w:pPr>
        <w:ind w:left="0"/>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1" w:tplc="0F20A1A6">
      <w:start w:val="1"/>
      <w:numFmt w:val="lowerLetter"/>
      <w:lvlText w:val="%2"/>
      <w:lvlJc w:val="left"/>
      <w:pPr>
        <w:ind w:left="1710"/>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2" w:tplc="0CE89BEC">
      <w:start w:val="1"/>
      <w:numFmt w:val="lowerRoman"/>
      <w:lvlText w:val="%3"/>
      <w:lvlJc w:val="left"/>
      <w:pPr>
        <w:ind w:left="2430"/>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3" w:tplc="55786EBC">
      <w:start w:val="1"/>
      <w:numFmt w:val="decimal"/>
      <w:lvlText w:val="%4"/>
      <w:lvlJc w:val="left"/>
      <w:pPr>
        <w:ind w:left="3150"/>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4" w:tplc="9C864D6E">
      <w:start w:val="1"/>
      <w:numFmt w:val="lowerLetter"/>
      <w:lvlText w:val="%5"/>
      <w:lvlJc w:val="left"/>
      <w:pPr>
        <w:ind w:left="3870"/>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5" w:tplc="D9D09A2A">
      <w:start w:val="1"/>
      <w:numFmt w:val="lowerRoman"/>
      <w:lvlText w:val="%6"/>
      <w:lvlJc w:val="left"/>
      <w:pPr>
        <w:ind w:left="4590"/>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6" w:tplc="DE422DF0">
      <w:start w:val="1"/>
      <w:numFmt w:val="decimal"/>
      <w:lvlText w:val="%7"/>
      <w:lvlJc w:val="left"/>
      <w:pPr>
        <w:ind w:left="5310"/>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7" w:tplc="A0F41BDC">
      <w:start w:val="1"/>
      <w:numFmt w:val="lowerLetter"/>
      <w:lvlText w:val="%8"/>
      <w:lvlJc w:val="left"/>
      <w:pPr>
        <w:ind w:left="6030"/>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8" w:tplc="51187988">
      <w:start w:val="1"/>
      <w:numFmt w:val="lowerRoman"/>
      <w:lvlText w:val="%9"/>
      <w:lvlJc w:val="left"/>
      <w:pPr>
        <w:ind w:left="6750"/>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33AB66B4"/>
    <w:multiLevelType w:val="hybridMultilevel"/>
    <w:tmpl w:val="99C485FC"/>
    <w:lvl w:ilvl="0" w:tplc="A97EB098">
      <w:start w:val="3"/>
      <w:numFmt w:val="ideographDigital"/>
      <w:lvlText w:val="（%1）"/>
      <w:lvlJc w:val="left"/>
      <w:pPr>
        <w:ind w:left="160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1" w:tplc="4C8AC3E2">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2" w:tplc="276E3290">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3" w:tplc="36E43E32">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4" w:tplc="52DAE0F8">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5" w:tplc="1286086A">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6" w:tplc="038C6A00">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7" w:tplc="DE4A59F2">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8" w:tplc="232001EA">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41B86467"/>
    <w:multiLevelType w:val="hybridMultilevel"/>
    <w:tmpl w:val="43487170"/>
    <w:lvl w:ilvl="0" w:tplc="5366C808">
      <w:start w:val="1"/>
      <w:numFmt w:val="ideographDigital"/>
      <w:lvlText w:val="（%1）"/>
      <w:lvlJc w:val="left"/>
      <w:pPr>
        <w:ind w:left="160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1" w:tplc="711C9E56">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2" w:tplc="C038ACAE">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3" w:tplc="364C70D2">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4" w:tplc="B374E616">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5" w:tplc="70889D44">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6" w:tplc="9F9A496C">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7" w:tplc="23200C9E">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8" w:tplc="59A234B4">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6E1B456F"/>
    <w:multiLevelType w:val="hybridMultilevel"/>
    <w:tmpl w:val="F782CEC8"/>
    <w:lvl w:ilvl="0" w:tplc="5246CA5E">
      <w:start w:val="1"/>
      <w:numFmt w:val="ideographDigital"/>
      <w:lvlText w:val="（%1）"/>
      <w:lvlJc w:val="left"/>
      <w:pPr>
        <w:ind w:left="554"/>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1" w:tplc="25D6D648">
      <w:start w:val="1"/>
      <w:numFmt w:val="lowerLetter"/>
      <w:lvlText w:val="%2"/>
      <w:lvlJc w:val="left"/>
      <w:pPr>
        <w:ind w:left="1678"/>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2" w:tplc="028E7CD0">
      <w:start w:val="1"/>
      <w:numFmt w:val="lowerRoman"/>
      <w:lvlText w:val="%3"/>
      <w:lvlJc w:val="left"/>
      <w:pPr>
        <w:ind w:left="2398"/>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3" w:tplc="B33EF62C">
      <w:start w:val="1"/>
      <w:numFmt w:val="decimal"/>
      <w:lvlText w:val="%4"/>
      <w:lvlJc w:val="left"/>
      <w:pPr>
        <w:ind w:left="3118"/>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4" w:tplc="7F0E9B6E">
      <w:start w:val="1"/>
      <w:numFmt w:val="lowerLetter"/>
      <w:lvlText w:val="%5"/>
      <w:lvlJc w:val="left"/>
      <w:pPr>
        <w:ind w:left="3838"/>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5" w:tplc="69C89EC4">
      <w:start w:val="1"/>
      <w:numFmt w:val="lowerRoman"/>
      <w:lvlText w:val="%6"/>
      <w:lvlJc w:val="left"/>
      <w:pPr>
        <w:ind w:left="4558"/>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6" w:tplc="72EC2F02">
      <w:start w:val="1"/>
      <w:numFmt w:val="decimal"/>
      <w:lvlText w:val="%7"/>
      <w:lvlJc w:val="left"/>
      <w:pPr>
        <w:ind w:left="5278"/>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7" w:tplc="B5D8B3C8">
      <w:start w:val="1"/>
      <w:numFmt w:val="lowerLetter"/>
      <w:lvlText w:val="%8"/>
      <w:lvlJc w:val="left"/>
      <w:pPr>
        <w:ind w:left="5998"/>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8" w:tplc="6E80ABD4">
      <w:start w:val="1"/>
      <w:numFmt w:val="lowerRoman"/>
      <w:lvlText w:val="%9"/>
      <w:lvlJc w:val="left"/>
      <w:pPr>
        <w:ind w:left="6718"/>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abstractNum>
  <w:abstractNum w:abstractNumId="5" w15:restartNumberingAfterBreak="0">
    <w:nsid w:val="749B352A"/>
    <w:multiLevelType w:val="hybridMultilevel"/>
    <w:tmpl w:val="AE044A7C"/>
    <w:lvl w:ilvl="0" w:tplc="07EEB76E">
      <w:start w:val="1"/>
      <w:numFmt w:val="japaneseCounting"/>
      <w:lvlText w:val="（%1）"/>
      <w:lvlJc w:val="left"/>
      <w:pPr>
        <w:ind w:left="0"/>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1" w:tplc="6D8CFB90">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2" w:tplc="89C278B4">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3" w:tplc="249CDE32">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4" w:tplc="A2983608">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5" w:tplc="347856D2">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6" w:tplc="228E110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7" w:tplc="8C36788C">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8" w:tplc="0B24C6C6">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A18"/>
    <w:rsid w:val="001044CF"/>
    <w:rsid w:val="006B1A18"/>
    <w:rsid w:val="00B30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8D67EA-4CE4-45EB-85AC-69806E2F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444" w:lineRule="auto"/>
      <w:ind w:right="322" w:firstLine="633"/>
    </w:pPr>
    <w:rPr>
      <w:rFonts w:ascii="微软雅黑" w:eastAsia="微软雅黑" w:hAnsi="微软雅黑" w:cs="微软雅黑"/>
      <w:color w:val="000000"/>
      <w:sz w:val="32"/>
    </w:rPr>
  </w:style>
  <w:style w:type="paragraph" w:styleId="1">
    <w:name w:val="heading 1"/>
    <w:next w:val="a"/>
    <w:link w:val="1Char"/>
    <w:uiPriority w:val="9"/>
    <w:unhideWhenUsed/>
    <w:qFormat/>
    <w:pPr>
      <w:keepNext/>
      <w:keepLines/>
      <w:spacing w:after="242" w:line="259" w:lineRule="auto"/>
      <w:ind w:right="325"/>
      <w:jc w:val="center"/>
      <w:outlineLvl w:val="0"/>
    </w:pPr>
    <w:rPr>
      <w:rFonts w:ascii="微软雅黑" w:eastAsia="微软雅黑" w:hAnsi="微软雅黑" w:cs="微软雅黑"/>
      <w:color w:val="000000"/>
      <w:sz w:val="36"/>
    </w:rPr>
  </w:style>
  <w:style w:type="paragraph" w:styleId="2">
    <w:name w:val="heading 2"/>
    <w:next w:val="a"/>
    <w:link w:val="2Char"/>
    <w:uiPriority w:val="9"/>
    <w:unhideWhenUsed/>
    <w:qFormat/>
    <w:pPr>
      <w:keepNext/>
      <w:keepLines/>
      <w:spacing w:after="299" w:line="259" w:lineRule="auto"/>
      <w:ind w:left="10" w:right="322" w:hanging="10"/>
      <w:jc w:val="center"/>
      <w:outlineLvl w:val="1"/>
    </w:pPr>
    <w:rPr>
      <w:rFonts w:ascii="微软雅黑" w:eastAsia="微软雅黑" w:hAnsi="微软雅黑" w:cs="微软雅黑"/>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Pr>
      <w:rFonts w:ascii="微软雅黑" w:eastAsia="微软雅黑" w:hAnsi="微软雅黑" w:cs="微软雅黑"/>
      <w:color w:val="000000"/>
      <w:sz w:val="32"/>
    </w:rPr>
  </w:style>
  <w:style w:type="character" w:customStyle="1" w:styleId="1Char">
    <w:name w:val="标题 1 Char"/>
    <w:link w:val="1"/>
    <w:rPr>
      <w:rFonts w:ascii="微软雅黑" w:eastAsia="微软雅黑" w:hAnsi="微软雅黑" w:cs="微软雅黑"/>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3534</Characters>
  <Application>Microsoft Office Word</Application>
  <DocSecurity>0</DocSecurity>
  <Lines>29</Lines>
  <Paragraphs>8</Paragraphs>
  <ScaleCrop>false</ScaleCrop>
  <Company>Microsoft</Company>
  <LinksUpToDate>false</LinksUpToDate>
  <CharactersWithSpaces>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政府会计准则第XX号——公共基础设施</dc:title>
  <dc:subject/>
  <dc:creator>helloworld</dc:creator>
  <cp:keywords/>
  <cp:lastModifiedBy>CY1002</cp:lastModifiedBy>
  <cp:revision>2</cp:revision>
  <dcterms:created xsi:type="dcterms:W3CDTF">2018-12-03T07:40:00Z</dcterms:created>
  <dcterms:modified xsi:type="dcterms:W3CDTF">2018-12-03T07:40:00Z</dcterms:modified>
</cp:coreProperties>
</file>